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7848"/>
        <w:gridCol w:w="5868"/>
      </w:tblGrid>
      <w:tr w:rsidR="00CB3767" w:rsidRPr="009F2BD1" w:rsidTr="00E94CCD">
        <w:trPr>
          <w:jc w:val="center"/>
        </w:trPr>
        <w:tc>
          <w:tcPr>
            <w:tcW w:w="7848" w:type="dxa"/>
          </w:tcPr>
          <w:p w:rsidR="00CB3767" w:rsidRPr="00F470EF" w:rsidRDefault="00CB3767" w:rsidP="00E94CCD">
            <w:pPr>
              <w:jc w:val="left"/>
              <w:rPr>
                <w:rFonts w:ascii="Arial" w:hAnsi="Arial" w:cs="Arial"/>
                <w:sz w:val="24"/>
                <w:szCs w:val="24"/>
              </w:rPr>
            </w:pPr>
            <w:r w:rsidRPr="00F470EF">
              <w:rPr>
                <w:rFonts w:ascii="Arial" w:hAnsi="Arial" w:cs="Arial"/>
                <w:noProof/>
                <w:sz w:val="24"/>
                <w:szCs w:val="24"/>
              </w:rPr>
              <w:drawing>
                <wp:inline distT="0" distB="0" distL="0" distR="0" wp14:anchorId="2B4E2F0E" wp14:editId="7170074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r w:rsidR="005F76B4">
              <w:rPr>
                <w:rFonts w:ascii="Arial" w:hAnsi="Arial" w:cs="Arial"/>
                <w:noProof/>
                <w:sz w:val="24"/>
                <w:szCs w:val="24"/>
              </w:rPr>
              <w:drawing>
                <wp:inline distT="0" distB="0" distL="0" distR="0" wp14:anchorId="71D3E470" wp14:editId="68EF9EFC">
                  <wp:extent cx="1390650" cy="523875"/>
                  <wp:effectExtent l="0" t="0" r="0" b="9525"/>
                  <wp:docPr id="2" name="Picture 2"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a:ln>
                            <a:noFill/>
                          </a:ln>
                        </pic:spPr>
                      </pic:pic>
                    </a:graphicData>
                  </a:graphic>
                </wp:inline>
              </w:drawing>
            </w:r>
          </w:p>
        </w:tc>
        <w:tc>
          <w:tcPr>
            <w:tcW w:w="5868"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5F76B4">
              <w:rPr>
                <w:b/>
                <w:color w:val="1F497D" w:themeColor="text2"/>
                <w:sz w:val="28"/>
                <w:szCs w:val="28"/>
              </w:rPr>
              <w:t>Payment Reform</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 xml:space="preserve">: </w:t>
            </w:r>
            <w:r w:rsidR="005F76B4">
              <w:rPr>
                <w:b/>
                <w:color w:val="1F497D" w:themeColor="text2"/>
              </w:rPr>
              <w:t>March 11,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5F76B4">
              <w:rPr>
                <w:b/>
                <w:color w:val="1F497D" w:themeColor="text2"/>
              </w:rPr>
              <w:t>2:00 pm to 4:00 pm</w:t>
            </w:r>
          </w:p>
          <w:p w:rsidR="00CB3767" w:rsidRPr="009F2BD1" w:rsidRDefault="00DA4F5E" w:rsidP="005F76B4">
            <w:pPr>
              <w:rPr>
                <w:b/>
                <w:color w:val="548DD4" w:themeColor="text2" w:themeTint="99"/>
              </w:rPr>
            </w:pPr>
            <w:r w:rsidRPr="009F2BD1">
              <w:rPr>
                <w:b/>
                <w:color w:val="1F497D" w:themeColor="text2"/>
              </w:rPr>
              <w:t>Location</w:t>
            </w:r>
            <w:r w:rsidR="001A7200" w:rsidRPr="009F2BD1">
              <w:rPr>
                <w:b/>
                <w:color w:val="1F497D" w:themeColor="text2"/>
              </w:rPr>
              <w:t xml:space="preserve">: </w:t>
            </w:r>
            <w:r w:rsidR="005F76B4">
              <w:rPr>
                <w:b/>
                <w:color w:val="1F497D" w:themeColor="text2"/>
              </w:rPr>
              <w:t>Gov. Hill Mansion, Augusta</w:t>
            </w:r>
          </w:p>
        </w:tc>
      </w:tr>
    </w:tbl>
    <w:p w:rsidR="00783336" w:rsidRPr="00F470EF" w:rsidRDefault="00783336" w:rsidP="00B57A9B">
      <w:pPr>
        <w:jc w:val="left"/>
        <w:rPr>
          <w:rFonts w:ascii="Arial" w:hAnsi="Arial" w:cs="Arial"/>
          <w:sz w:val="24"/>
          <w:szCs w:val="24"/>
        </w:rPr>
      </w:pPr>
    </w:p>
    <w:p w:rsidR="005F76B4" w:rsidRDefault="00E82E95" w:rsidP="00D90642">
      <w:pPr>
        <w:jc w:val="left"/>
        <w:rPr>
          <w:rFonts w:cstheme="minorHAnsi"/>
        </w:rPr>
      </w:pPr>
      <w:r w:rsidRPr="005F76B4">
        <w:rPr>
          <w:rFonts w:cstheme="minorHAnsi"/>
          <w:b/>
          <w:u w:val="single"/>
        </w:rPr>
        <w:t xml:space="preserve">Chair: </w:t>
      </w:r>
      <w:r w:rsidR="005F76B4">
        <w:rPr>
          <w:rFonts w:cstheme="minorHAnsi"/>
        </w:rPr>
        <w:t xml:space="preserve">Frank Johnson, </w:t>
      </w:r>
      <w:hyperlink r:id="rId11" w:history="1">
        <w:r w:rsidR="005F76B4" w:rsidRPr="00BB7E14">
          <w:rPr>
            <w:rStyle w:val="Hyperlink"/>
            <w:rFonts w:cstheme="minorHAnsi"/>
          </w:rPr>
          <w:t>fjohnson@mehmc.org</w:t>
        </w:r>
      </w:hyperlink>
    </w:p>
    <w:p w:rsidR="005F76B4" w:rsidRDefault="005F76B4" w:rsidP="00D90642">
      <w:pPr>
        <w:jc w:val="left"/>
        <w:rPr>
          <w:rFonts w:cstheme="minorHAnsi"/>
        </w:rPr>
      </w:pPr>
    </w:p>
    <w:p w:rsidR="005F76B4" w:rsidRDefault="005F76B4" w:rsidP="00D90642">
      <w:pPr>
        <w:jc w:val="left"/>
        <w:rPr>
          <w:rFonts w:cstheme="minorHAnsi"/>
        </w:rPr>
      </w:pPr>
      <w:r>
        <w:rPr>
          <w:rFonts w:cstheme="minorHAnsi"/>
          <w:b/>
          <w:u w:val="single"/>
        </w:rPr>
        <w:t xml:space="preserve">MHMC Staff: </w:t>
      </w:r>
      <w:r>
        <w:rPr>
          <w:rFonts w:cstheme="minorHAnsi"/>
        </w:rPr>
        <w:t>Blake Hendrickson, Patti Ross, Lisa Nolan, Lyndsay Sanborn</w:t>
      </w:r>
    </w:p>
    <w:p w:rsidR="005F76B4" w:rsidRPr="005F76B4" w:rsidRDefault="005F76B4" w:rsidP="00D90642">
      <w:pPr>
        <w:jc w:val="left"/>
        <w:rPr>
          <w:rFonts w:cstheme="minorHAnsi"/>
        </w:rPr>
      </w:pPr>
    </w:p>
    <w:p w:rsidR="00D90642" w:rsidRPr="005F76B4" w:rsidRDefault="005F76B4" w:rsidP="00D90642">
      <w:pPr>
        <w:jc w:val="left"/>
        <w:rPr>
          <w:rFonts w:ascii="Arial" w:hAnsi="Arial" w:cs="Arial"/>
          <w:sz w:val="24"/>
          <w:szCs w:val="24"/>
          <w:u w:val="single"/>
        </w:rPr>
      </w:pPr>
      <w:r w:rsidRPr="005F76B4">
        <w:rPr>
          <w:rFonts w:cstheme="minorHAnsi"/>
          <w:b/>
          <w:u w:val="single"/>
        </w:rPr>
        <w:t>Att</w:t>
      </w:r>
      <w:r w:rsidR="00CB3767" w:rsidRPr="005F76B4">
        <w:rPr>
          <w:rFonts w:cstheme="minorHAnsi"/>
          <w:b/>
          <w:u w:val="single"/>
        </w:rPr>
        <w:t>en</w:t>
      </w:r>
      <w:r w:rsidR="00CB3767" w:rsidRPr="00E95CFE">
        <w:rPr>
          <w:rFonts w:cstheme="minorHAnsi"/>
          <w:b/>
          <w:u w:val="single"/>
        </w:rPr>
        <w:t>dance</w:t>
      </w:r>
      <w:r w:rsidR="00CB3767" w:rsidRPr="00E95CFE">
        <w:rPr>
          <w:rFonts w:cstheme="minorHAnsi"/>
          <w:b/>
        </w:rPr>
        <w:t>:</w:t>
      </w:r>
      <w:r w:rsidR="00E82E95" w:rsidRPr="00E95CFE">
        <w:rPr>
          <w:rFonts w:cstheme="minorHAnsi"/>
          <w:b/>
        </w:rPr>
        <w:t xml:space="preserve"> </w:t>
      </w:r>
      <w:r>
        <w:rPr>
          <w:rFonts w:cstheme="minorHAnsi"/>
        </w:rPr>
        <w:t xml:space="preserve">Ted Rooney, Tom Hopkins, Andy Ellis, Cheryl Rust, Pat Denning, Joanne Rawlings-Sekunda, Michelle Probert, Shaun Alfreds, Christina Harding, Wanda Pelkey, </w:t>
      </w:r>
      <w:r w:rsidR="00ED6823">
        <w:rPr>
          <w:rFonts w:cstheme="minorHAnsi"/>
        </w:rPr>
        <w:t xml:space="preserve">Christine Zukas (via webinar), Jim Kane (via webinar), Ned Claxton (via webinar), Fran Jensen (via Webinar), Akindele Majekodunmi (via webinar), Judiann Smith (via webinar), Mark Biscone (via phone) Ann Woloson (via phone). </w:t>
      </w:r>
    </w:p>
    <w:p w:rsidR="00D26692" w:rsidRDefault="00D26692" w:rsidP="002748B1">
      <w:pPr>
        <w:jc w:val="left"/>
        <w:rPr>
          <w:rFonts w:cstheme="minorHAnsi"/>
        </w:rPr>
      </w:pPr>
    </w:p>
    <w:p w:rsidR="00ED6823" w:rsidRPr="00ED6823" w:rsidRDefault="00ED6823" w:rsidP="002748B1">
      <w:pPr>
        <w:jc w:val="left"/>
        <w:rPr>
          <w:rFonts w:cstheme="minorHAnsi"/>
        </w:rPr>
      </w:pPr>
      <w:r>
        <w:rPr>
          <w:rFonts w:cstheme="minorHAnsi"/>
          <w:b/>
          <w:u w:val="single"/>
        </w:rPr>
        <w:t>Guest</w:t>
      </w:r>
      <w:r w:rsidR="00FB5382" w:rsidRPr="00FB5382">
        <w:rPr>
          <w:rFonts w:cstheme="minorHAnsi"/>
          <w:b/>
          <w:u w:val="single"/>
        </w:rPr>
        <w:t xml:space="preserve"> Attendance:</w:t>
      </w:r>
      <w:r>
        <w:rPr>
          <w:rFonts w:cstheme="minorHAnsi"/>
        </w:rPr>
        <w:t xml:space="preserve"> Katie Sendze, HealthInfoNet; Lisa Tuttle, Quality Counts; Randy Chenard, SIM Program Director.</w:t>
      </w:r>
    </w:p>
    <w:p w:rsidR="00D243A2" w:rsidRDefault="00D243A2" w:rsidP="00B50A92">
      <w:pPr>
        <w:jc w:val="left"/>
        <w:rPr>
          <w:rFonts w:cstheme="minorHAnsi"/>
        </w:rPr>
      </w:pPr>
    </w:p>
    <w:p w:rsidR="00DA4F5E"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ED6823">
        <w:rPr>
          <w:rFonts w:cstheme="minorHAnsi"/>
          <w:b/>
        </w:rPr>
        <w:t xml:space="preserve"> </w:t>
      </w:r>
      <w:r w:rsidR="00ED6823">
        <w:rPr>
          <w:rFonts w:cstheme="minorHAnsi"/>
        </w:rPr>
        <w:t>Jay Yoe (excused), Dr. Jamie Kuhn (excused), Mark Still (excused), Chris McCarthy (excused), Kevin Lewis (excused), Richelle Wallace (excused), Dan Dyer, Lori Parham, Dr. William Kassler.</w:t>
      </w:r>
    </w:p>
    <w:p w:rsidR="00ED6823" w:rsidRDefault="00ED6823" w:rsidP="00B57A9B">
      <w:pPr>
        <w:jc w:val="left"/>
        <w:rPr>
          <w:rFonts w:cstheme="minorHAnsi"/>
        </w:rPr>
      </w:pPr>
    </w:p>
    <w:p w:rsidR="00ED6823" w:rsidRDefault="00ED6823" w:rsidP="00B57A9B">
      <w:pPr>
        <w:jc w:val="left"/>
        <w:rPr>
          <w:rFonts w:cstheme="minorHAnsi"/>
        </w:rPr>
      </w:pPr>
    </w:p>
    <w:p w:rsidR="00ED6823" w:rsidRPr="00937CE8" w:rsidRDefault="00ED6823" w:rsidP="00B57A9B">
      <w:pPr>
        <w:jc w:val="left"/>
        <w:rPr>
          <w:rFonts w:cstheme="minorHAnsi"/>
        </w:rPr>
        <w:sectPr w:rsidR="00ED6823" w:rsidRPr="00937CE8" w:rsidSect="00BC2BC9">
          <w:footerReference w:type="default" r:id="rId12"/>
          <w:pgSz w:w="15840" w:h="12240" w:orient="landscape"/>
          <w:pgMar w:top="432" w:right="432" w:bottom="432" w:left="432" w:header="720" w:footer="720" w:gutter="0"/>
          <w:cols w:space="720"/>
          <w:docGrid w:linePitch="360"/>
        </w:sectPr>
      </w:pPr>
      <w:r>
        <w:rPr>
          <w:rFonts w:cstheme="minorHAnsi"/>
          <w:b/>
          <w:u w:val="single"/>
        </w:rPr>
        <w:t>Interested Pa</w:t>
      </w:r>
      <w:r w:rsidR="00937CE8">
        <w:rPr>
          <w:rFonts w:cstheme="minorHAnsi"/>
          <w:b/>
          <w:u w:val="single"/>
        </w:rPr>
        <w:t>rties:</w:t>
      </w:r>
      <w:r w:rsidR="00937CE8">
        <w:rPr>
          <w:rFonts w:cstheme="minorHAnsi"/>
        </w:rPr>
        <w:t xml:space="preserve"> Christopher Pezzrillo, David Winslow, Bob Howe, Sybil Mazzerolle, Elsie Freeman, Joannie Klayman (via webinar), Katherine Pelletreau (via webinar).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2B6325" w:rsidRDefault="00A72713" w:rsidP="00937CE8">
      <w:pPr>
        <w:ind w:left="-990"/>
        <w:jc w:val="left"/>
      </w:pPr>
      <w:r w:rsidRPr="007B64B4">
        <w:rPr>
          <w:rFonts w:cs="Arial"/>
          <w:i/>
        </w:rPr>
        <w:t xml:space="preserve">Subcommittee </w:t>
      </w:r>
      <w:r w:rsidR="00AA1F9E" w:rsidRPr="007B64B4">
        <w:rPr>
          <w:rFonts w:cs="Arial"/>
          <w:i/>
        </w:rPr>
        <w:t>documents available at</w:t>
      </w:r>
      <w:r w:rsidR="00AA1F9E" w:rsidRPr="00E95CFE">
        <w:rPr>
          <w:rFonts w:cs="Arial"/>
          <w:b/>
        </w:rPr>
        <w:t xml:space="preserve">:  </w:t>
      </w:r>
      <w:r w:rsidR="00952EC8" w:rsidRPr="00952EC8">
        <w:rPr>
          <w:rFonts w:cs="Arial"/>
        </w:rPr>
        <w:t>http://www.maine.gov/dhhs/sim/resources/payment-reform.html</w:t>
      </w:r>
    </w:p>
    <w:p w:rsidR="00937CE8" w:rsidRPr="00AA1F9E" w:rsidRDefault="00937CE8" w:rsidP="00937CE8">
      <w:pPr>
        <w:ind w:left="-990"/>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340"/>
        <w:gridCol w:w="9180"/>
        <w:gridCol w:w="2742"/>
      </w:tblGrid>
      <w:tr w:rsidR="00952EC8" w:rsidRPr="00990D1F" w:rsidTr="00DB475F">
        <w:tc>
          <w:tcPr>
            <w:tcW w:w="2340" w:type="dxa"/>
            <w:shd w:val="clear" w:color="auto" w:fill="1F497D" w:themeFill="text2"/>
          </w:tcPr>
          <w:p w:rsidR="00952EC8" w:rsidRDefault="00952EC8" w:rsidP="006A0577">
            <w:pPr>
              <w:jc w:val="left"/>
              <w:rPr>
                <w:rFonts w:cstheme="minorHAnsi"/>
                <w:b/>
              </w:rPr>
            </w:pPr>
            <w:r w:rsidRPr="00990D1F">
              <w:rPr>
                <w:rFonts w:cstheme="minorHAnsi"/>
                <w:b/>
                <w:color w:val="FFFFFF" w:themeColor="background1"/>
              </w:rPr>
              <w:t>Agenda</w:t>
            </w:r>
            <w:r>
              <w:rPr>
                <w:rFonts w:cstheme="minorHAnsi"/>
                <w:b/>
                <w:color w:val="FFFFFF" w:themeColor="background1"/>
              </w:rPr>
              <w:t xml:space="preserve"> Item</w:t>
            </w:r>
          </w:p>
        </w:tc>
        <w:tc>
          <w:tcPr>
            <w:tcW w:w="9180" w:type="dxa"/>
            <w:shd w:val="clear" w:color="auto" w:fill="1F497D" w:themeFill="text2"/>
          </w:tcPr>
          <w:p w:rsidR="00952EC8" w:rsidRPr="00F30306" w:rsidRDefault="00952EC8" w:rsidP="006A0577">
            <w:pPr>
              <w:jc w:val="left"/>
              <w:rPr>
                <w:rFonts w:cstheme="minorHAnsi"/>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c>
          <w:tcPr>
            <w:tcW w:w="2742" w:type="dxa"/>
            <w:shd w:val="clear" w:color="auto" w:fill="1F497D" w:themeFill="text2"/>
          </w:tcPr>
          <w:p w:rsidR="00952EC8" w:rsidRPr="00990D1F" w:rsidRDefault="00952EC8" w:rsidP="006A0577">
            <w:pPr>
              <w:jc w:val="left"/>
              <w:rPr>
                <w:rFonts w:cstheme="minorHAnsi"/>
              </w:rPr>
            </w:pPr>
            <w:r>
              <w:rPr>
                <w:rFonts w:cstheme="minorHAnsi"/>
                <w:b/>
                <w:color w:val="FFFFFF" w:themeColor="background1"/>
              </w:rPr>
              <w:t>Action Items</w:t>
            </w:r>
          </w:p>
        </w:tc>
      </w:tr>
      <w:tr w:rsidR="00952EC8" w:rsidRPr="00990D1F" w:rsidTr="00DB475F">
        <w:trPr>
          <w:tblHeader/>
        </w:trPr>
        <w:tc>
          <w:tcPr>
            <w:tcW w:w="2340" w:type="dxa"/>
          </w:tcPr>
          <w:p w:rsidR="00952EC8" w:rsidRDefault="00952EC8" w:rsidP="00F30306">
            <w:pPr>
              <w:jc w:val="left"/>
              <w:rPr>
                <w:rFonts w:cstheme="minorHAnsi"/>
                <w:b/>
              </w:rPr>
            </w:pPr>
            <w:r>
              <w:rPr>
                <w:rFonts w:cstheme="minorHAnsi"/>
                <w:b/>
              </w:rPr>
              <w:t>Report from Delivery System Subcommittee</w:t>
            </w:r>
          </w:p>
          <w:p w:rsidR="00952EC8" w:rsidRDefault="00952EC8" w:rsidP="00F30306">
            <w:pPr>
              <w:jc w:val="left"/>
              <w:rPr>
                <w:rFonts w:cstheme="minorHAnsi"/>
                <w:b/>
              </w:rPr>
            </w:pPr>
          </w:p>
          <w:p w:rsidR="00952EC8" w:rsidRPr="00990D1F" w:rsidRDefault="00952EC8" w:rsidP="00B57A9B">
            <w:pPr>
              <w:jc w:val="left"/>
              <w:rPr>
                <w:rFonts w:cstheme="minorHAnsi"/>
                <w:b/>
                <w:color w:val="FFFFFF" w:themeColor="background1"/>
              </w:rPr>
            </w:pPr>
          </w:p>
        </w:tc>
        <w:tc>
          <w:tcPr>
            <w:tcW w:w="9180" w:type="dxa"/>
          </w:tcPr>
          <w:p w:rsidR="00952EC8" w:rsidRPr="00990D1F" w:rsidRDefault="00952EC8" w:rsidP="00D00D15">
            <w:pPr>
              <w:jc w:val="left"/>
              <w:rPr>
                <w:rFonts w:cstheme="minorHAnsi"/>
                <w:b/>
                <w:color w:val="FFFFFF" w:themeColor="background1"/>
              </w:rPr>
            </w:pPr>
            <w:r>
              <w:rPr>
                <w:rFonts w:cstheme="minorHAnsi"/>
              </w:rPr>
              <w:t xml:space="preserve">Lisa Tuttle, chair of the Delivery System Subcommittee and Maine Quality Counts, presented an overview of the Delivery System SCs work to date and the dependencies identified for the Payment Reform SC. Lisa’s presentation prompted a dialogue on the sustainability of the payment support for the Patient-Centered Medical Home pilot, particularly as it relates to the Medicare population.   </w:t>
            </w:r>
          </w:p>
        </w:tc>
        <w:tc>
          <w:tcPr>
            <w:tcW w:w="2742" w:type="dxa"/>
          </w:tcPr>
          <w:p w:rsidR="00952EC8" w:rsidRPr="00990D1F" w:rsidRDefault="00952EC8" w:rsidP="00B57A9B">
            <w:pPr>
              <w:jc w:val="left"/>
              <w:rPr>
                <w:rFonts w:cstheme="minorHAnsi"/>
                <w:b/>
                <w:color w:val="FFFFFF" w:themeColor="background1"/>
              </w:rPr>
            </w:pPr>
            <w:r>
              <w:rPr>
                <w:rFonts w:cstheme="minorHAnsi"/>
              </w:rPr>
              <w:t>NA</w:t>
            </w:r>
          </w:p>
        </w:tc>
      </w:tr>
      <w:tr w:rsidR="00952EC8" w:rsidRPr="00990D1F" w:rsidTr="00781B68">
        <w:tc>
          <w:tcPr>
            <w:tcW w:w="2340" w:type="dxa"/>
          </w:tcPr>
          <w:p w:rsidR="00952EC8" w:rsidRDefault="00952EC8" w:rsidP="00DA4F5E">
            <w:pPr>
              <w:jc w:val="left"/>
              <w:rPr>
                <w:rFonts w:cstheme="minorHAnsi"/>
                <w:b/>
              </w:rPr>
            </w:pPr>
            <w:r>
              <w:rPr>
                <w:rFonts w:cstheme="minorHAnsi"/>
                <w:b/>
              </w:rPr>
              <w:t>Report from the Data Infrastructure Subcommittee</w:t>
            </w:r>
          </w:p>
          <w:p w:rsidR="00952EC8" w:rsidRDefault="00952EC8" w:rsidP="00DA4F5E">
            <w:pPr>
              <w:jc w:val="left"/>
              <w:rPr>
                <w:rFonts w:cstheme="minorHAnsi"/>
                <w:b/>
              </w:rPr>
            </w:pPr>
          </w:p>
          <w:p w:rsidR="00952EC8" w:rsidRDefault="00952EC8" w:rsidP="00F30306">
            <w:pPr>
              <w:jc w:val="left"/>
              <w:rPr>
                <w:rFonts w:cstheme="minorHAnsi"/>
                <w:b/>
              </w:rPr>
            </w:pPr>
          </w:p>
        </w:tc>
        <w:tc>
          <w:tcPr>
            <w:tcW w:w="9180" w:type="dxa"/>
          </w:tcPr>
          <w:p w:rsidR="00952EC8" w:rsidRDefault="00952EC8" w:rsidP="00380C97">
            <w:pPr>
              <w:jc w:val="left"/>
              <w:rPr>
                <w:rFonts w:cstheme="minorHAnsi"/>
              </w:rPr>
            </w:pPr>
            <w:r>
              <w:rPr>
                <w:rFonts w:cstheme="minorHAnsi"/>
              </w:rPr>
              <w:t xml:space="preserve">Katie Sendze, chair of the Data Infrastructure Subcommittee and HealthInfoNet, presented an outline of the data challenges confronting the Data Infrastructure SC as well as updates on two specific initiatives: the RFP for behavioral health services to facilitate data submission to the health information exchange and the development of a patient portal to enable patients to access their full personal health record. Shaun Alfreds presented a demonstration of the HBI analytics dashboard tool that has been developed by HealthInfoNet for access to both aggregate and patient-specific information with several filters to aid provider in population health management.   </w:t>
            </w:r>
          </w:p>
        </w:tc>
        <w:tc>
          <w:tcPr>
            <w:tcW w:w="2742" w:type="dxa"/>
          </w:tcPr>
          <w:p w:rsidR="00952EC8" w:rsidRDefault="00952EC8" w:rsidP="00B57A9B">
            <w:pPr>
              <w:jc w:val="left"/>
              <w:rPr>
                <w:rFonts w:cstheme="minorHAnsi"/>
              </w:rPr>
            </w:pPr>
            <w:r>
              <w:rPr>
                <w:rFonts w:cstheme="minorHAnsi"/>
              </w:rPr>
              <w:t>NA</w:t>
            </w:r>
          </w:p>
          <w:p w:rsidR="00952EC8" w:rsidRDefault="00952EC8" w:rsidP="00B57A9B">
            <w:pPr>
              <w:jc w:val="left"/>
              <w:rPr>
                <w:rFonts w:cstheme="minorHAnsi"/>
              </w:rPr>
            </w:pPr>
          </w:p>
          <w:p w:rsidR="00952EC8" w:rsidRDefault="00952EC8" w:rsidP="00B57A9B">
            <w:pPr>
              <w:jc w:val="left"/>
              <w:rPr>
                <w:rFonts w:cstheme="minorHAnsi"/>
              </w:rPr>
            </w:pPr>
          </w:p>
          <w:p w:rsidR="00952EC8" w:rsidRDefault="00952EC8" w:rsidP="00B57A9B">
            <w:pPr>
              <w:jc w:val="left"/>
              <w:rPr>
                <w:rFonts w:cstheme="minorHAnsi"/>
              </w:rPr>
            </w:pPr>
          </w:p>
          <w:p w:rsidR="00952EC8" w:rsidRDefault="00952EC8" w:rsidP="00B57A9B">
            <w:pPr>
              <w:jc w:val="left"/>
              <w:rPr>
                <w:rFonts w:cstheme="minorHAnsi"/>
              </w:rPr>
            </w:pPr>
          </w:p>
          <w:p w:rsidR="00952EC8" w:rsidRPr="00990D1F" w:rsidRDefault="00952EC8" w:rsidP="00B57A9B">
            <w:pPr>
              <w:jc w:val="left"/>
              <w:rPr>
                <w:rFonts w:cstheme="minorHAnsi"/>
              </w:rPr>
            </w:pPr>
          </w:p>
        </w:tc>
      </w:tr>
      <w:tr w:rsidR="00952EC8" w:rsidRPr="00990D1F" w:rsidTr="00DB475F">
        <w:trPr>
          <w:trHeight w:val="332"/>
        </w:trPr>
        <w:tc>
          <w:tcPr>
            <w:tcW w:w="2340" w:type="dxa"/>
          </w:tcPr>
          <w:p w:rsidR="00952EC8" w:rsidRDefault="00952EC8" w:rsidP="00DA4F5E">
            <w:pPr>
              <w:jc w:val="left"/>
              <w:rPr>
                <w:rFonts w:cstheme="minorHAnsi"/>
                <w:b/>
              </w:rPr>
            </w:pPr>
            <w:r>
              <w:rPr>
                <w:rFonts w:cstheme="minorHAnsi"/>
                <w:b/>
              </w:rPr>
              <w:t>Cost of Care Work Group</w:t>
            </w:r>
          </w:p>
          <w:p w:rsidR="00952EC8" w:rsidRDefault="00952EC8" w:rsidP="00DA4F5E">
            <w:pPr>
              <w:jc w:val="left"/>
              <w:rPr>
                <w:rFonts w:cstheme="minorHAnsi"/>
                <w:b/>
              </w:rPr>
            </w:pPr>
          </w:p>
          <w:p w:rsidR="00952EC8" w:rsidRPr="00952EC8" w:rsidRDefault="00952EC8" w:rsidP="00DA4F5E">
            <w:pPr>
              <w:jc w:val="left"/>
              <w:rPr>
                <w:rFonts w:cstheme="minorHAnsi"/>
                <w:b/>
                <w:color w:val="FFFFFF" w:themeColor="background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c>
        <w:tc>
          <w:tcPr>
            <w:tcW w:w="9180" w:type="dxa"/>
          </w:tcPr>
          <w:p w:rsidR="00952EC8" w:rsidRPr="00952EC8" w:rsidRDefault="00952EC8" w:rsidP="00233F80">
            <w:pPr>
              <w:jc w:val="left"/>
              <w:rPr>
                <w:rFonts w:cstheme="minorHAnsi"/>
                <w:b/>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cstheme="minorHAnsi"/>
              </w:rPr>
              <w:t>Lisa Nolan of the Maine Health Management Coalition provided a high-level overview of the Cost of Care work supported by the SIM grant. Lisa briefly explained the process and product of the work group’s activities in 2012, the proposed process/composition and primary activities proposed for the re-convened work group,  and solicited suggestions from the Payment Reform SC.</w:t>
            </w:r>
          </w:p>
        </w:tc>
        <w:tc>
          <w:tcPr>
            <w:tcW w:w="2742" w:type="dxa"/>
          </w:tcPr>
          <w:p w:rsidR="00952EC8" w:rsidRPr="00952EC8" w:rsidRDefault="00952EC8" w:rsidP="00574A36">
            <w:pPr>
              <w:jc w:val="left"/>
              <w:rPr>
                <w:rFonts w:cstheme="minorHAnsi"/>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theme="minorHAnsi"/>
              </w:rPr>
              <w:t>NA</w:t>
            </w:r>
          </w:p>
        </w:tc>
      </w:tr>
      <w:tr w:rsidR="00952EC8" w:rsidRPr="00990D1F" w:rsidTr="00E94CCD">
        <w:tc>
          <w:tcPr>
            <w:tcW w:w="2340" w:type="dxa"/>
            <w:tcBorders>
              <w:bottom w:val="single" w:sz="4" w:space="0" w:color="auto"/>
            </w:tcBorders>
            <w:shd w:val="clear" w:color="auto" w:fill="17365D" w:themeFill="text2" w:themeFillShade="BF"/>
          </w:tcPr>
          <w:p w:rsidR="00952EC8" w:rsidRPr="00AC0CE5" w:rsidRDefault="00952EC8" w:rsidP="00DA4F5E">
            <w:pPr>
              <w:jc w:val="left"/>
              <w:rPr>
                <w:rFonts w:cstheme="minorHAnsi"/>
                <w:b/>
              </w:rPr>
            </w:pPr>
            <w:r>
              <w:rPr>
                <w:rFonts w:cstheme="minorHAnsi"/>
                <w:b/>
              </w:rPr>
              <w:t>Risk Item Identified</w:t>
            </w:r>
          </w:p>
        </w:tc>
        <w:tc>
          <w:tcPr>
            <w:tcW w:w="9180" w:type="dxa"/>
            <w:tcBorders>
              <w:bottom w:val="single" w:sz="4" w:space="0" w:color="auto"/>
            </w:tcBorders>
            <w:shd w:val="clear" w:color="auto" w:fill="17365D" w:themeFill="text2" w:themeFillShade="BF"/>
          </w:tcPr>
          <w:p w:rsidR="00952EC8" w:rsidRPr="00F30306" w:rsidRDefault="00952EC8" w:rsidP="00DA4F5E">
            <w:pPr>
              <w:jc w:val="left"/>
              <w:rPr>
                <w:rFonts w:cstheme="minorHAnsi"/>
              </w:rPr>
            </w:pPr>
            <w:r>
              <w:rPr>
                <w:rFonts w:cstheme="minorHAnsi"/>
              </w:rPr>
              <w:t>Follow Up For Risk</w:t>
            </w:r>
          </w:p>
        </w:tc>
        <w:tc>
          <w:tcPr>
            <w:tcW w:w="2742" w:type="dxa"/>
            <w:tcBorders>
              <w:bottom w:val="single" w:sz="4" w:space="0" w:color="auto"/>
            </w:tcBorders>
            <w:shd w:val="clear" w:color="auto" w:fill="17365D" w:themeFill="text2" w:themeFillShade="BF"/>
          </w:tcPr>
          <w:p w:rsidR="00952EC8" w:rsidRPr="00990D1F" w:rsidRDefault="00952EC8" w:rsidP="00574A36">
            <w:pPr>
              <w:jc w:val="left"/>
              <w:rPr>
                <w:rFonts w:cstheme="minorHAnsi"/>
              </w:rPr>
            </w:pPr>
            <w:r>
              <w:rPr>
                <w:rFonts w:cstheme="minorHAnsi"/>
              </w:rPr>
              <w:t>Escalation to Steering Committee (Y/N)</w:t>
            </w:r>
          </w:p>
        </w:tc>
      </w:tr>
      <w:tr w:rsidR="00952EC8" w:rsidRPr="00990D1F" w:rsidTr="00E94CCD">
        <w:tc>
          <w:tcPr>
            <w:tcW w:w="2340" w:type="dxa"/>
            <w:tcBorders>
              <w:bottom w:val="single" w:sz="4" w:space="0" w:color="auto"/>
              <w:right w:val="single" w:sz="4" w:space="0" w:color="auto"/>
            </w:tcBorders>
            <w:shd w:val="clear" w:color="auto" w:fill="17365D" w:themeFill="text2" w:themeFillShade="BF"/>
          </w:tcPr>
          <w:p w:rsidR="00952EC8" w:rsidRDefault="00952EC8" w:rsidP="00952EC8">
            <w:pPr>
              <w:shd w:val="clear" w:color="auto" w:fill="FFFFFF" w:themeFill="background1"/>
              <w:jc w:val="left"/>
              <w:rPr>
                <w:rFonts w:cstheme="minorHAnsi"/>
                <w:b/>
              </w:rPr>
            </w:pPr>
            <w:r>
              <w:rPr>
                <w:rFonts w:cstheme="minorHAnsi"/>
                <w:b/>
              </w:rPr>
              <w:t>N/A</w:t>
            </w:r>
          </w:p>
        </w:tc>
        <w:tc>
          <w:tcPr>
            <w:tcW w:w="9180" w:type="dxa"/>
            <w:tcBorders>
              <w:left w:val="single" w:sz="4" w:space="0" w:color="auto"/>
              <w:bottom w:val="single" w:sz="4" w:space="0" w:color="auto"/>
              <w:right w:val="single" w:sz="4" w:space="0" w:color="auto"/>
            </w:tcBorders>
            <w:shd w:val="clear" w:color="auto" w:fill="17365D" w:themeFill="text2" w:themeFillShade="BF"/>
          </w:tcPr>
          <w:p w:rsidR="00952EC8" w:rsidRDefault="00952EC8" w:rsidP="00952EC8">
            <w:pPr>
              <w:shd w:val="clear" w:color="auto" w:fill="FFFFFF" w:themeFill="background1"/>
              <w:jc w:val="left"/>
              <w:rPr>
                <w:rFonts w:cstheme="minorHAnsi"/>
              </w:rPr>
            </w:pPr>
            <w:r>
              <w:rPr>
                <w:rFonts w:cstheme="minorHAnsi"/>
              </w:rPr>
              <w:t>N/A</w:t>
            </w:r>
          </w:p>
        </w:tc>
        <w:tc>
          <w:tcPr>
            <w:tcW w:w="2742" w:type="dxa"/>
            <w:tcBorders>
              <w:left w:val="single" w:sz="4" w:space="0" w:color="auto"/>
              <w:bottom w:val="single" w:sz="4" w:space="0" w:color="auto"/>
            </w:tcBorders>
            <w:shd w:val="clear" w:color="auto" w:fill="17365D" w:themeFill="text2" w:themeFillShade="BF"/>
          </w:tcPr>
          <w:p w:rsidR="00952EC8" w:rsidRPr="00952EC8" w:rsidRDefault="00952EC8" w:rsidP="00952EC8">
            <w:pPr>
              <w:shd w:val="clear" w:color="auto" w:fill="FFFFFF" w:themeFill="background1"/>
              <w:jc w:val="left"/>
              <w:rPr>
                <w:rFonts w:cstheme="minorHAnsi"/>
              </w:rPr>
            </w:pPr>
            <w:r>
              <w:rPr>
                <w:rFonts w:cstheme="minorHAnsi"/>
              </w:rPr>
              <w:t>N/A</w:t>
            </w:r>
          </w:p>
        </w:tc>
      </w:tr>
    </w:tbl>
    <w:p w:rsidR="00CB3767" w:rsidRDefault="00CB3767" w:rsidP="00952EC8">
      <w:pPr>
        <w:shd w:val="clear" w:color="auto" w:fill="FFFFFF" w:themeFill="background1"/>
        <w:jc w:val="left"/>
        <w:rPr>
          <w:rFonts w:ascii="Arial" w:hAnsi="Arial" w:cs="Arial"/>
          <w:sz w:val="24"/>
          <w:szCs w:val="24"/>
        </w:rPr>
      </w:pPr>
    </w:p>
    <w:p w:rsidR="00952EC8" w:rsidRDefault="00952EC8" w:rsidP="00952EC8">
      <w:pPr>
        <w:shd w:val="clear" w:color="auto" w:fill="FFFFFF" w:themeFill="background1"/>
        <w:jc w:val="left"/>
        <w:rPr>
          <w:rFonts w:ascii="Arial" w:hAnsi="Arial" w:cs="Arial"/>
          <w:sz w:val="24"/>
          <w:szCs w:val="24"/>
        </w:rPr>
      </w:pPr>
    </w:p>
    <w:p w:rsidR="00952EC8" w:rsidRPr="00F470EF" w:rsidRDefault="00952EC8" w:rsidP="00952EC8">
      <w:pPr>
        <w:shd w:val="clear" w:color="auto" w:fill="FFFFFF" w:themeFill="background1"/>
        <w:jc w:val="left"/>
        <w:rPr>
          <w:rFonts w:ascii="Arial" w:hAnsi="Arial" w:cs="Arial"/>
          <w:sz w:val="24"/>
          <w:szCs w:val="24"/>
        </w:rPr>
      </w:pPr>
    </w:p>
    <w:sectPr w:rsidR="00952EC8"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FD" w:rsidRDefault="000B5DFD" w:rsidP="005261E9">
      <w:r>
        <w:separator/>
      </w:r>
    </w:p>
  </w:endnote>
  <w:endnote w:type="continuationSeparator" w:id="0">
    <w:p w:rsidR="000B5DFD" w:rsidRDefault="000B5DFD"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E94CCD">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E94CCD">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FD" w:rsidRDefault="000B5DFD" w:rsidP="005261E9">
      <w:r>
        <w:separator/>
      </w:r>
    </w:p>
  </w:footnote>
  <w:footnote w:type="continuationSeparator" w:id="0">
    <w:p w:rsidR="000B5DFD" w:rsidRDefault="000B5DFD" w:rsidP="00526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19"/>
  </w:num>
  <w:num w:numId="7">
    <w:abstractNumId w:val="12"/>
  </w:num>
  <w:num w:numId="8">
    <w:abstractNumId w:val="17"/>
  </w:num>
  <w:num w:numId="9">
    <w:abstractNumId w:val="3"/>
  </w:num>
  <w:num w:numId="10">
    <w:abstractNumId w:val="20"/>
  </w:num>
  <w:num w:numId="11">
    <w:abstractNumId w:val="14"/>
  </w:num>
  <w:num w:numId="12">
    <w:abstractNumId w:val="8"/>
  </w:num>
  <w:num w:numId="13">
    <w:abstractNumId w:val="22"/>
  </w:num>
  <w:num w:numId="14">
    <w:abstractNumId w:val="1"/>
  </w:num>
  <w:num w:numId="15">
    <w:abstractNumId w:val="21"/>
  </w:num>
  <w:num w:numId="16">
    <w:abstractNumId w:val="5"/>
  </w:num>
  <w:num w:numId="17">
    <w:abstractNumId w:val="16"/>
  </w:num>
  <w:num w:numId="18">
    <w:abstractNumId w:val="13"/>
  </w:num>
  <w:num w:numId="19">
    <w:abstractNumId w:val="18"/>
  </w:num>
  <w:num w:numId="20">
    <w:abstractNumId w:val="6"/>
  </w:num>
  <w:num w:numId="21">
    <w:abstractNumId w:val="23"/>
  </w:num>
  <w:num w:numId="22">
    <w:abstractNumId w:val="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30B11"/>
    <w:rsid w:val="00031E57"/>
    <w:rsid w:val="00043725"/>
    <w:rsid w:val="0006146F"/>
    <w:rsid w:val="00067324"/>
    <w:rsid w:val="000729CB"/>
    <w:rsid w:val="00073F46"/>
    <w:rsid w:val="00081AD2"/>
    <w:rsid w:val="00086535"/>
    <w:rsid w:val="00093C04"/>
    <w:rsid w:val="000A664A"/>
    <w:rsid w:val="000B0295"/>
    <w:rsid w:val="000B5DFD"/>
    <w:rsid w:val="000E575F"/>
    <w:rsid w:val="000E5AAE"/>
    <w:rsid w:val="000E5CCF"/>
    <w:rsid w:val="000F7F57"/>
    <w:rsid w:val="001054A5"/>
    <w:rsid w:val="0011168C"/>
    <w:rsid w:val="00117EF9"/>
    <w:rsid w:val="00127E97"/>
    <w:rsid w:val="00135F5E"/>
    <w:rsid w:val="001369B2"/>
    <w:rsid w:val="0014045E"/>
    <w:rsid w:val="001450BB"/>
    <w:rsid w:val="00146FBA"/>
    <w:rsid w:val="00161C2B"/>
    <w:rsid w:val="00164916"/>
    <w:rsid w:val="001828B7"/>
    <w:rsid w:val="001A7200"/>
    <w:rsid w:val="001A7E5D"/>
    <w:rsid w:val="001B17DC"/>
    <w:rsid w:val="001C2239"/>
    <w:rsid w:val="001D6946"/>
    <w:rsid w:val="001F6FB4"/>
    <w:rsid w:val="00207B55"/>
    <w:rsid w:val="00217E69"/>
    <w:rsid w:val="0022745E"/>
    <w:rsid w:val="00233F80"/>
    <w:rsid w:val="00237CB3"/>
    <w:rsid w:val="0024309F"/>
    <w:rsid w:val="00257AF3"/>
    <w:rsid w:val="00273B77"/>
    <w:rsid w:val="002748B1"/>
    <w:rsid w:val="00282E0A"/>
    <w:rsid w:val="00283021"/>
    <w:rsid w:val="00286629"/>
    <w:rsid w:val="002924EB"/>
    <w:rsid w:val="002B6325"/>
    <w:rsid w:val="002B70BD"/>
    <w:rsid w:val="002C2DD3"/>
    <w:rsid w:val="002C7742"/>
    <w:rsid w:val="002D664C"/>
    <w:rsid w:val="002E4357"/>
    <w:rsid w:val="002E45B1"/>
    <w:rsid w:val="00302696"/>
    <w:rsid w:val="00303E17"/>
    <w:rsid w:val="003128FE"/>
    <w:rsid w:val="00324CF3"/>
    <w:rsid w:val="0032502E"/>
    <w:rsid w:val="0033176A"/>
    <w:rsid w:val="0035442F"/>
    <w:rsid w:val="00362684"/>
    <w:rsid w:val="0036506D"/>
    <w:rsid w:val="00373A02"/>
    <w:rsid w:val="00377C6E"/>
    <w:rsid w:val="00380C97"/>
    <w:rsid w:val="003B3A33"/>
    <w:rsid w:val="003C1F65"/>
    <w:rsid w:val="003C3747"/>
    <w:rsid w:val="003E2AC7"/>
    <w:rsid w:val="003F0DC9"/>
    <w:rsid w:val="00405196"/>
    <w:rsid w:val="00420ED3"/>
    <w:rsid w:val="004279FF"/>
    <w:rsid w:val="0043502A"/>
    <w:rsid w:val="00456CF4"/>
    <w:rsid w:val="0046623E"/>
    <w:rsid w:val="00485155"/>
    <w:rsid w:val="00496871"/>
    <w:rsid w:val="004A6BC9"/>
    <w:rsid w:val="004D0A28"/>
    <w:rsid w:val="004D6326"/>
    <w:rsid w:val="004F0AC7"/>
    <w:rsid w:val="004F505A"/>
    <w:rsid w:val="00512BE1"/>
    <w:rsid w:val="005171A9"/>
    <w:rsid w:val="005261E9"/>
    <w:rsid w:val="0052760A"/>
    <w:rsid w:val="00532B24"/>
    <w:rsid w:val="00541C44"/>
    <w:rsid w:val="005533A8"/>
    <w:rsid w:val="005568EC"/>
    <w:rsid w:val="00564B5C"/>
    <w:rsid w:val="00566A38"/>
    <w:rsid w:val="00572012"/>
    <w:rsid w:val="00574A36"/>
    <w:rsid w:val="00591948"/>
    <w:rsid w:val="005930A0"/>
    <w:rsid w:val="005972F3"/>
    <w:rsid w:val="005A20A4"/>
    <w:rsid w:val="005A4406"/>
    <w:rsid w:val="005C03E8"/>
    <w:rsid w:val="005C2BA9"/>
    <w:rsid w:val="005C6CC2"/>
    <w:rsid w:val="005C6D82"/>
    <w:rsid w:val="005F379B"/>
    <w:rsid w:val="005F5668"/>
    <w:rsid w:val="005F674F"/>
    <w:rsid w:val="005F76B4"/>
    <w:rsid w:val="00600A39"/>
    <w:rsid w:val="00604980"/>
    <w:rsid w:val="00605991"/>
    <w:rsid w:val="00605B60"/>
    <w:rsid w:val="006444D7"/>
    <w:rsid w:val="00667AC1"/>
    <w:rsid w:val="00671C49"/>
    <w:rsid w:val="006813C4"/>
    <w:rsid w:val="00683928"/>
    <w:rsid w:val="006855F8"/>
    <w:rsid w:val="0069587D"/>
    <w:rsid w:val="006A16B8"/>
    <w:rsid w:val="006A1F1F"/>
    <w:rsid w:val="006B3862"/>
    <w:rsid w:val="006C6BC9"/>
    <w:rsid w:val="006E689F"/>
    <w:rsid w:val="006F15FF"/>
    <w:rsid w:val="006F3934"/>
    <w:rsid w:val="006F796C"/>
    <w:rsid w:val="0070192A"/>
    <w:rsid w:val="00705406"/>
    <w:rsid w:val="00724F63"/>
    <w:rsid w:val="00725F68"/>
    <w:rsid w:val="00731F5C"/>
    <w:rsid w:val="00735D33"/>
    <w:rsid w:val="00736B94"/>
    <w:rsid w:val="0073775A"/>
    <w:rsid w:val="0077220B"/>
    <w:rsid w:val="00772268"/>
    <w:rsid w:val="00781B68"/>
    <w:rsid w:val="00783336"/>
    <w:rsid w:val="00796FBD"/>
    <w:rsid w:val="007B5B0F"/>
    <w:rsid w:val="007B64B4"/>
    <w:rsid w:val="007C77E2"/>
    <w:rsid w:val="007D36C7"/>
    <w:rsid w:val="007E4388"/>
    <w:rsid w:val="008145DB"/>
    <w:rsid w:val="008218F2"/>
    <w:rsid w:val="008623EC"/>
    <w:rsid w:val="00891C68"/>
    <w:rsid w:val="008B0882"/>
    <w:rsid w:val="008B1CD7"/>
    <w:rsid w:val="008B4134"/>
    <w:rsid w:val="008E0FE6"/>
    <w:rsid w:val="008F74F2"/>
    <w:rsid w:val="009322EB"/>
    <w:rsid w:val="009344D1"/>
    <w:rsid w:val="00937CE8"/>
    <w:rsid w:val="00942E2B"/>
    <w:rsid w:val="0094434A"/>
    <w:rsid w:val="00952EC8"/>
    <w:rsid w:val="009539B2"/>
    <w:rsid w:val="009730F0"/>
    <w:rsid w:val="00981AED"/>
    <w:rsid w:val="009821E5"/>
    <w:rsid w:val="00990D1F"/>
    <w:rsid w:val="009923E9"/>
    <w:rsid w:val="009955C5"/>
    <w:rsid w:val="009A1EF4"/>
    <w:rsid w:val="009A2822"/>
    <w:rsid w:val="009B3346"/>
    <w:rsid w:val="009D7AA8"/>
    <w:rsid w:val="009E1125"/>
    <w:rsid w:val="009E78DC"/>
    <w:rsid w:val="009E7FF6"/>
    <w:rsid w:val="009F1D31"/>
    <w:rsid w:val="009F2BD1"/>
    <w:rsid w:val="00A15F9D"/>
    <w:rsid w:val="00A3144A"/>
    <w:rsid w:val="00A335D5"/>
    <w:rsid w:val="00A37FAD"/>
    <w:rsid w:val="00A4641F"/>
    <w:rsid w:val="00A6246E"/>
    <w:rsid w:val="00A67D08"/>
    <w:rsid w:val="00A70F04"/>
    <w:rsid w:val="00A71DF1"/>
    <w:rsid w:val="00A72713"/>
    <w:rsid w:val="00A86873"/>
    <w:rsid w:val="00A9678A"/>
    <w:rsid w:val="00AA1F9E"/>
    <w:rsid w:val="00AA53E1"/>
    <w:rsid w:val="00AB7558"/>
    <w:rsid w:val="00AC0CE5"/>
    <w:rsid w:val="00AC2CB9"/>
    <w:rsid w:val="00AC7353"/>
    <w:rsid w:val="00AE05D2"/>
    <w:rsid w:val="00AE5F30"/>
    <w:rsid w:val="00AF2735"/>
    <w:rsid w:val="00B00402"/>
    <w:rsid w:val="00B1500A"/>
    <w:rsid w:val="00B16193"/>
    <w:rsid w:val="00B2323B"/>
    <w:rsid w:val="00B37255"/>
    <w:rsid w:val="00B4414E"/>
    <w:rsid w:val="00B50A92"/>
    <w:rsid w:val="00B55426"/>
    <w:rsid w:val="00B56216"/>
    <w:rsid w:val="00B57A9B"/>
    <w:rsid w:val="00B71FCD"/>
    <w:rsid w:val="00B75CC9"/>
    <w:rsid w:val="00B7641E"/>
    <w:rsid w:val="00B84CEB"/>
    <w:rsid w:val="00B91424"/>
    <w:rsid w:val="00BA716E"/>
    <w:rsid w:val="00BB4447"/>
    <w:rsid w:val="00BC01BD"/>
    <w:rsid w:val="00BC2BC9"/>
    <w:rsid w:val="00BD45A9"/>
    <w:rsid w:val="00BE022C"/>
    <w:rsid w:val="00BF164A"/>
    <w:rsid w:val="00BF1788"/>
    <w:rsid w:val="00BF5044"/>
    <w:rsid w:val="00BF65E2"/>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D00D15"/>
    <w:rsid w:val="00D16513"/>
    <w:rsid w:val="00D20057"/>
    <w:rsid w:val="00D243A2"/>
    <w:rsid w:val="00D26692"/>
    <w:rsid w:val="00D350F7"/>
    <w:rsid w:val="00D40CE9"/>
    <w:rsid w:val="00D503B1"/>
    <w:rsid w:val="00D57B06"/>
    <w:rsid w:val="00D72AE2"/>
    <w:rsid w:val="00D83573"/>
    <w:rsid w:val="00D87281"/>
    <w:rsid w:val="00D90010"/>
    <w:rsid w:val="00D90642"/>
    <w:rsid w:val="00D9595F"/>
    <w:rsid w:val="00DA3DDB"/>
    <w:rsid w:val="00DA4F5E"/>
    <w:rsid w:val="00DC1678"/>
    <w:rsid w:val="00DD2B6B"/>
    <w:rsid w:val="00DD61CA"/>
    <w:rsid w:val="00DE7656"/>
    <w:rsid w:val="00DF3F66"/>
    <w:rsid w:val="00DF4F90"/>
    <w:rsid w:val="00E0433A"/>
    <w:rsid w:val="00E16FAD"/>
    <w:rsid w:val="00E22D25"/>
    <w:rsid w:val="00E2772A"/>
    <w:rsid w:val="00E27DCF"/>
    <w:rsid w:val="00E75F2C"/>
    <w:rsid w:val="00E82E95"/>
    <w:rsid w:val="00E844DE"/>
    <w:rsid w:val="00E93629"/>
    <w:rsid w:val="00E94CCD"/>
    <w:rsid w:val="00E95CFE"/>
    <w:rsid w:val="00EA19D4"/>
    <w:rsid w:val="00EB5D6A"/>
    <w:rsid w:val="00ED6823"/>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4707"/>
    <w:rsid w:val="00F70E4E"/>
    <w:rsid w:val="00F775CE"/>
    <w:rsid w:val="00F869DE"/>
    <w:rsid w:val="00F96AC7"/>
    <w:rsid w:val="00FB5382"/>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johnson@mehmc.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F271-8E34-4AFC-9FFB-6395964D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Frank Johnson</cp:lastModifiedBy>
  <cp:revision>2</cp:revision>
  <cp:lastPrinted>2013-09-24T21:17:00Z</cp:lastPrinted>
  <dcterms:created xsi:type="dcterms:W3CDTF">2014-03-13T16:59:00Z</dcterms:created>
  <dcterms:modified xsi:type="dcterms:W3CDTF">2014-03-13T16:59:00Z</dcterms:modified>
</cp:coreProperties>
</file>